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C" w:rsidRPr="00F1693B" w:rsidRDefault="00AF3DDC" w:rsidP="00AF3DD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693B">
        <w:rPr>
          <w:rFonts w:ascii="Times New Roman" w:hAnsi="Times New Roman"/>
          <w:b/>
          <w:color w:val="000000"/>
          <w:sz w:val="28"/>
          <w:szCs w:val="28"/>
        </w:rPr>
        <w:t xml:space="preserve">Лекция.  </w:t>
      </w:r>
    </w:p>
    <w:p w:rsidR="00AF3DDC" w:rsidRPr="00F1693B" w:rsidRDefault="00AF3DDC" w:rsidP="00F1693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1693B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F1693B">
        <w:rPr>
          <w:rFonts w:ascii="Times New Roman" w:hAnsi="Times New Roman"/>
          <w:sz w:val="28"/>
          <w:szCs w:val="28"/>
        </w:rPr>
        <w:t xml:space="preserve">Численное интегрирование </w:t>
      </w:r>
      <w:r w:rsidRPr="00F1693B">
        <w:rPr>
          <w:rFonts w:ascii="Times New Roman" w:hAnsi="Times New Roman"/>
          <w:sz w:val="28"/>
          <w:szCs w:val="28"/>
        </w:rPr>
        <w:t xml:space="preserve">по </w:t>
      </w:r>
      <w:r w:rsidRPr="00F1693B">
        <w:rPr>
          <w:rFonts w:ascii="Times New Roman" w:hAnsi="Times New Roman"/>
          <w:b/>
          <w:sz w:val="28"/>
          <w:szCs w:val="28"/>
        </w:rPr>
        <w:t>формуле Симпсона.</w:t>
      </w:r>
    </w:p>
    <w:p w:rsidR="00F1693B" w:rsidRPr="00F1693B" w:rsidRDefault="00F1693B" w:rsidP="00F1693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F3DDC" w:rsidRPr="00F1693B" w:rsidRDefault="00AF3DDC" w:rsidP="00F1693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>Цель занятия: Познакомить со способами представления функции в виде прямоугольников и трапеций. Научить вычислять интегралы по формулам прямоугольников, трапеций и формуле Симпсона.</w:t>
      </w:r>
    </w:p>
    <w:p w:rsidR="00AF3DDC" w:rsidRPr="00F1693B" w:rsidRDefault="00AF3DDC" w:rsidP="00F1693B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</w:p>
    <w:p w:rsidR="00AF3DDC" w:rsidRPr="00F1693B" w:rsidRDefault="00AF3DDC" w:rsidP="00AF3DDC">
      <w:pPr>
        <w:tabs>
          <w:tab w:val="num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F1693B">
        <w:rPr>
          <w:rFonts w:ascii="Times New Roman" w:hAnsi="Times New Roman"/>
          <w:b/>
          <w:sz w:val="28"/>
          <w:szCs w:val="28"/>
        </w:rPr>
        <w:t>Предварительные соображения.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ab/>
        <w:t xml:space="preserve">Из курса математического анализа известно, что существуют неопределённые интегралы, не выражающиеся в элементарных функциях – так называемые не берущиеся интегралы. Таким, например, является интеграл </w:t>
      </w:r>
      <w:r w:rsidRPr="00F1693B">
        <w:rPr>
          <w:rFonts w:ascii="Times New Roman" w:hAnsi="Times New Roman"/>
          <w:position w:val="-16"/>
          <w:sz w:val="28"/>
          <w:szCs w:val="28"/>
        </w:rPr>
        <w:object w:dxaOrig="1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21.75pt" o:ole="">
            <v:imagedata r:id="rId6" o:title=""/>
          </v:shape>
          <o:OLEObject Type="Embed" ProgID="Equation.3" ShapeID="_x0000_i1025" DrawAspect="Content" ObjectID="_1668533953" r:id="rId7"/>
        </w:object>
      </w:r>
      <w:r w:rsidRPr="00F1693B">
        <w:rPr>
          <w:rFonts w:ascii="Times New Roman" w:hAnsi="Times New Roman"/>
          <w:sz w:val="28"/>
          <w:szCs w:val="28"/>
        </w:rPr>
        <w:t xml:space="preserve">. Поэтому, очевидно, в некоторых случаях невозможно вычисление определённого интеграла с помощью формулы Ньютона-Лейбница </w:t>
      </w:r>
      <w:r w:rsidRPr="00F1693B">
        <w:rPr>
          <w:rFonts w:ascii="Times New Roman" w:hAnsi="Times New Roman"/>
          <w:position w:val="-32"/>
          <w:sz w:val="28"/>
          <w:szCs w:val="28"/>
        </w:rPr>
        <w:object w:dxaOrig="2260" w:dyaOrig="760">
          <v:shape id="_x0000_i1026" type="#_x0000_t75" style="width:113pt;height:37.65pt" o:ole="">
            <v:imagedata r:id="rId8" o:title=""/>
          </v:shape>
          <o:OLEObject Type="Embed" ProgID="Equation.3" ShapeID="_x0000_i1026" DrawAspect="Content" ObjectID="_1668533954" r:id="rId9"/>
        </w:object>
      </w:r>
      <w:r w:rsidRPr="00F1693B">
        <w:rPr>
          <w:rFonts w:ascii="Times New Roman" w:hAnsi="Times New Roman"/>
          <w:sz w:val="28"/>
          <w:szCs w:val="28"/>
        </w:rPr>
        <w:t xml:space="preserve">, так как нельзя найти </w:t>
      </w:r>
      <w:proofErr w:type="gramStart"/>
      <w:r w:rsidRPr="00F1693B">
        <w:rPr>
          <w:rFonts w:ascii="Times New Roman" w:hAnsi="Times New Roman"/>
          <w:sz w:val="28"/>
          <w:szCs w:val="28"/>
        </w:rPr>
        <w:t>первообразную</w:t>
      </w:r>
      <w:proofErr w:type="gramEnd"/>
      <w:r w:rsidRPr="00F1693B">
        <w:rPr>
          <w:rFonts w:ascii="Times New Roman" w:hAnsi="Times New Roman"/>
          <w:sz w:val="28"/>
          <w:szCs w:val="28"/>
        </w:rPr>
        <w:t xml:space="preserve"> подынтегральной функции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27" type="#_x0000_t75" style="width:25.95pt;height:16.75pt" o:ole="">
            <v:imagedata r:id="rId10" o:title=""/>
          </v:shape>
          <o:OLEObject Type="Embed" ProgID="Equation.3" ShapeID="_x0000_i1027" DrawAspect="Content" ObjectID="_1668533955" r:id="rId11"/>
        </w:object>
      </w:r>
      <w:r w:rsidRPr="00F1693B">
        <w:rPr>
          <w:rFonts w:ascii="Times New Roman" w:hAnsi="Times New Roman"/>
          <w:sz w:val="28"/>
          <w:szCs w:val="28"/>
        </w:rPr>
        <w:t xml:space="preserve">.  В то же время существование такого интеграла обусловлено непрерывностью функции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28" type="#_x0000_t75" style="width:25.95pt;height:16.75pt" o:ole="">
            <v:imagedata r:id="rId10" o:title=""/>
          </v:shape>
          <o:OLEObject Type="Embed" ProgID="Equation.3" ShapeID="_x0000_i1028" DrawAspect="Content" ObjectID="_1668533956" r:id="rId12"/>
        </w:object>
      </w:r>
      <w:r w:rsidRPr="00F1693B">
        <w:rPr>
          <w:rFonts w:ascii="Times New Roman" w:hAnsi="Times New Roman"/>
          <w:sz w:val="28"/>
          <w:szCs w:val="28"/>
        </w:rPr>
        <w:t xml:space="preserve"> на отрезке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29" type="#_x0000_t75" style="width:25.95pt;height:16.75pt" o:ole="">
            <v:imagedata r:id="rId13" o:title=""/>
          </v:shape>
          <o:OLEObject Type="Embed" ProgID="Equation.3" ShapeID="_x0000_i1029" DrawAspect="Content" ObjectID="_1668533957" r:id="rId14"/>
        </w:object>
      </w:r>
      <w:r w:rsidRPr="00F1693B">
        <w:rPr>
          <w:rFonts w:ascii="Times New Roman" w:hAnsi="Times New Roman"/>
          <w:sz w:val="28"/>
          <w:szCs w:val="28"/>
        </w:rPr>
        <w:t>. В таких случаях прибегают к численным методам интегрирования.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ab/>
        <w:t>Разумеется, вычислить определённый интеграл можно, непосредственно пользуясь его определением, как предел интегральных сумм:</w:t>
      </w:r>
      <w:r w:rsidRPr="00F1693B">
        <w:rPr>
          <w:rFonts w:ascii="Times New Roman" w:hAnsi="Times New Roman"/>
          <w:position w:val="-32"/>
          <w:sz w:val="28"/>
          <w:szCs w:val="28"/>
        </w:rPr>
        <w:object w:dxaOrig="2380" w:dyaOrig="760">
          <v:shape id="_x0000_i1030" type="#_x0000_t75" style="width:118.9pt;height:37.65pt" o:ole="">
            <v:imagedata r:id="rId15" o:title=""/>
          </v:shape>
          <o:OLEObject Type="Embed" ProgID="Equation.3" ShapeID="_x0000_i1030" DrawAspect="Content" ObjectID="_1668533958" r:id="rId16"/>
        </w:object>
      </w:r>
      <w:r w:rsidRPr="00F1693B">
        <w:rPr>
          <w:rFonts w:ascii="Times New Roman" w:hAnsi="Times New Roman"/>
          <w:sz w:val="28"/>
          <w:szCs w:val="28"/>
        </w:rPr>
        <w:t xml:space="preserve">, где </w:t>
      </w:r>
      <w:r w:rsidRPr="00F1693B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1" type="#_x0000_t75" style="width:10.05pt;height:10.9pt" o:ole="">
            <v:imagedata r:id="rId17" o:title=""/>
          </v:shape>
          <o:OLEObject Type="Embed" ProgID="Equation.3" ShapeID="_x0000_i1031" DrawAspect="Content" ObjectID="_1668533959" r:id="rId18"/>
        </w:object>
      </w:r>
      <w:r w:rsidRPr="00F1693B">
        <w:rPr>
          <w:rFonts w:ascii="Times New Roman" w:hAnsi="Times New Roman"/>
          <w:sz w:val="28"/>
          <w:szCs w:val="28"/>
        </w:rPr>
        <w:t xml:space="preserve">- число отрезков разбиения (частичных отрезков), </w:t>
      </w:r>
      <w:r w:rsidRPr="00F1693B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2" type="#_x0000_t75" style="width:11.7pt;height:18.4pt" o:ole="">
            <v:imagedata r:id="rId19" o:title=""/>
          </v:shape>
          <o:OLEObject Type="Embed" ProgID="Equation.3" ShapeID="_x0000_i1032" DrawAspect="Content" ObjectID="_1668533960" r:id="rId20"/>
        </w:object>
      </w:r>
      <w:r w:rsidRPr="00F1693B">
        <w:rPr>
          <w:rFonts w:ascii="Times New Roman" w:hAnsi="Times New Roman"/>
          <w:sz w:val="28"/>
          <w:szCs w:val="28"/>
        </w:rPr>
        <w:t xml:space="preserve">- некоторые точки, произвольно выбранные на каждом из отрезков, </w:t>
      </w:r>
      <w:r w:rsidRPr="00F1693B">
        <w:rPr>
          <w:rFonts w:ascii="Times New Roman" w:hAnsi="Times New Roman"/>
          <w:position w:val="-12"/>
          <w:sz w:val="28"/>
          <w:szCs w:val="28"/>
        </w:rPr>
        <w:object w:dxaOrig="380" w:dyaOrig="360">
          <v:shape id="_x0000_i1033" type="#_x0000_t75" style="width:19.25pt;height:18.4pt" o:ole="">
            <v:imagedata r:id="rId21" o:title=""/>
          </v:shape>
          <o:OLEObject Type="Embed" ProgID="Equation.3" ShapeID="_x0000_i1033" DrawAspect="Content" ObjectID="_1668533961" r:id="rId22"/>
        </w:object>
      </w:r>
      <w:r w:rsidRPr="00F1693B">
        <w:rPr>
          <w:rFonts w:ascii="Times New Roman" w:hAnsi="Times New Roman"/>
          <w:sz w:val="28"/>
          <w:szCs w:val="28"/>
        </w:rPr>
        <w:t xml:space="preserve"> - длина одного частичного отрезка. Однако такой способ, во-первых, достаточно громоздок, </w:t>
      </w:r>
      <w:proofErr w:type="gramStart"/>
      <w:r w:rsidRPr="00F1693B">
        <w:rPr>
          <w:rFonts w:ascii="Times New Roman" w:hAnsi="Times New Roman"/>
          <w:sz w:val="28"/>
          <w:szCs w:val="28"/>
        </w:rPr>
        <w:t>во вторых</w:t>
      </w:r>
      <w:proofErr w:type="gramEnd"/>
      <w:r w:rsidRPr="00F1693B">
        <w:rPr>
          <w:rFonts w:ascii="Times New Roman" w:hAnsi="Times New Roman"/>
          <w:sz w:val="28"/>
          <w:szCs w:val="28"/>
        </w:rPr>
        <w:t xml:space="preserve">, обычно даёт результаты приемлемой точности только при больших значениях </w:t>
      </w:r>
      <w:r w:rsidRPr="00F1693B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4" type="#_x0000_t75" style="width:10.05pt;height:10.9pt" o:ole="">
            <v:imagedata r:id="rId23" o:title=""/>
          </v:shape>
          <o:OLEObject Type="Embed" ProgID="Equation.3" ShapeID="_x0000_i1034" DrawAspect="Content" ObjectID="_1668533962" r:id="rId24"/>
        </w:object>
      </w:r>
      <w:r w:rsidRPr="00F1693B">
        <w:rPr>
          <w:rFonts w:ascii="Times New Roman" w:hAnsi="Times New Roman"/>
          <w:sz w:val="28"/>
          <w:szCs w:val="28"/>
        </w:rPr>
        <w:t>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ab/>
        <w:t xml:space="preserve">Чаще всего формулы приближённого вычисления определённого интеграла вытекают из его геометрического смысла. Следовательно, задача о приближённом вычислении определённого интеграла заменяется другой, равносильной ей – задачей о вычислении площади криволинейной трапеции. При этом кривая 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35" type="#_x0000_t75" style="width:25.95pt;height:16.75pt" o:ole="">
            <v:imagedata r:id="rId10" o:title=""/>
          </v:shape>
          <o:OLEObject Type="Embed" ProgID="Equation.3" ShapeID="_x0000_i1035" DrawAspect="Content" ObjectID="_1668533963" r:id="rId25"/>
        </w:object>
      </w:r>
      <w:r w:rsidRPr="00F1693B">
        <w:rPr>
          <w:rFonts w:ascii="Times New Roman" w:hAnsi="Times New Roman"/>
          <w:sz w:val="28"/>
          <w:szCs w:val="28"/>
        </w:rPr>
        <w:t xml:space="preserve"> заменяется другой линией, достаточно близкой к ней. В качестве этой новой линии выбирается такая кривая, для которой площадь криволинейной трапеции подсчитывается просто, то есть для которой можно легко найти первообразную. В зависимости от выбора этой кривой и различаются формулы численного интегрирования. 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ab/>
        <w:t xml:space="preserve">Предположим сначала для определённости, что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036" type="#_x0000_t75" style="width:44.35pt;height:16.75pt" o:ole="">
            <v:imagedata r:id="rId26" o:title=""/>
          </v:shape>
          <o:OLEObject Type="Embed" ProgID="Equation.3" ShapeID="_x0000_i1036" DrawAspect="Content" ObjectID="_1668533964" r:id="rId27"/>
        </w:object>
      </w:r>
      <w:r w:rsidRPr="00F1693B">
        <w:rPr>
          <w:rFonts w:ascii="Times New Roman" w:hAnsi="Times New Roman"/>
          <w:sz w:val="28"/>
          <w:szCs w:val="28"/>
        </w:rPr>
        <w:t xml:space="preserve"> для всех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037" type="#_x0000_t75" style="width:44.35pt;height:16.75pt" o:ole="">
            <v:imagedata r:id="rId28" o:title=""/>
          </v:shape>
          <o:OLEObject Type="Embed" ProgID="Equation.3" ShapeID="_x0000_i1037" DrawAspect="Content" ObjectID="_1668533965" r:id="rId29"/>
        </w:object>
      </w:r>
      <w:r w:rsidRPr="00F1693B">
        <w:rPr>
          <w:rFonts w:ascii="Times New Roman" w:hAnsi="Times New Roman"/>
          <w:sz w:val="28"/>
          <w:szCs w:val="28"/>
        </w:rPr>
        <w:t xml:space="preserve">. Разобьём отрезок 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38" type="#_x0000_t75" style="width:25.95pt;height:16.75pt" o:ole="">
            <v:imagedata r:id="rId13" o:title=""/>
          </v:shape>
          <o:OLEObject Type="Embed" ProgID="Equation.3" ShapeID="_x0000_i1038" DrawAspect="Content" ObjectID="_1668533966" r:id="rId30"/>
        </w:object>
      </w:r>
      <w:r w:rsidRPr="00F1693B">
        <w:rPr>
          <w:rFonts w:ascii="Times New Roman" w:hAnsi="Times New Roman"/>
          <w:sz w:val="28"/>
          <w:szCs w:val="28"/>
        </w:rPr>
        <w:t xml:space="preserve"> на </w:t>
      </w:r>
      <w:r w:rsidRPr="00F1693B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9" type="#_x0000_t75" style="width:10.05pt;height:10.9pt" o:ole="">
            <v:imagedata r:id="rId17" o:title=""/>
          </v:shape>
          <o:OLEObject Type="Embed" ProgID="Equation.3" ShapeID="_x0000_i1039" DrawAspect="Content" ObjectID="_1668533967" r:id="rId31"/>
        </w:object>
      </w:r>
      <w:r w:rsidRPr="00F1693B">
        <w:rPr>
          <w:rFonts w:ascii="Times New Roman" w:hAnsi="Times New Roman"/>
          <w:sz w:val="28"/>
          <w:szCs w:val="28"/>
        </w:rPr>
        <w:t xml:space="preserve"> равных частей точками </w:t>
      </w:r>
      <w:r w:rsidRPr="00F1693B">
        <w:rPr>
          <w:rFonts w:ascii="Times New Roman" w:hAnsi="Times New Roman"/>
          <w:position w:val="-12"/>
          <w:sz w:val="28"/>
          <w:szCs w:val="28"/>
        </w:rPr>
        <w:object w:dxaOrig="3000" w:dyaOrig="380">
          <v:shape id="_x0000_i1040" type="#_x0000_t75" style="width:149.85pt;height:19.25pt" o:ole="">
            <v:imagedata r:id="rId32" o:title=""/>
          </v:shape>
          <o:OLEObject Type="Embed" ProgID="Equation.3" ShapeID="_x0000_i1040" DrawAspect="Content" ObjectID="_1668533968" r:id="rId33"/>
        </w:object>
      </w:r>
      <w:r w:rsidRPr="00F1693B">
        <w:rPr>
          <w:rFonts w:ascii="Times New Roman" w:hAnsi="Times New Roman"/>
          <w:sz w:val="28"/>
          <w:szCs w:val="28"/>
        </w:rPr>
        <w:t xml:space="preserve">. </w:t>
      </w:r>
      <w:r w:rsidRPr="00F1693B">
        <w:rPr>
          <w:rFonts w:ascii="Times New Roman" w:hAnsi="Times New Roman"/>
          <w:sz w:val="28"/>
          <w:szCs w:val="28"/>
        </w:rPr>
        <w:lastRenderedPageBreak/>
        <w:t xml:space="preserve">Длина каждого отрезка равна </w:t>
      </w:r>
      <w:r w:rsidRPr="00F1693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041" type="#_x0000_t75" style="width:47.7pt;height:31pt" o:ole="">
            <v:imagedata r:id="rId34" o:title=""/>
          </v:shape>
          <o:OLEObject Type="Embed" ProgID="Equation.3" ShapeID="_x0000_i1041" DrawAspect="Content" ObjectID="_1668533969" r:id="rId35"/>
        </w:object>
      </w:r>
      <w:r w:rsidRPr="00F1693B">
        <w:rPr>
          <w:rFonts w:ascii="Times New Roman" w:hAnsi="Times New Roman"/>
          <w:sz w:val="28"/>
          <w:szCs w:val="28"/>
        </w:rPr>
        <w:t xml:space="preserve">. Через точки деления проведём вертикальные прямые, которые пересекут линию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42" type="#_x0000_t75" style="width:25.95pt;height:16.75pt" o:ole="">
            <v:imagedata r:id="rId10" o:title=""/>
          </v:shape>
          <o:OLEObject Type="Embed" ProgID="Equation.3" ShapeID="_x0000_i1042" DrawAspect="Content" ObjectID="_1668533970" r:id="rId36"/>
        </w:object>
      </w:r>
      <w:r w:rsidRPr="00F1693B">
        <w:rPr>
          <w:rFonts w:ascii="Times New Roman" w:hAnsi="Times New Roman"/>
          <w:sz w:val="28"/>
          <w:szCs w:val="28"/>
        </w:rPr>
        <w:t xml:space="preserve"> в точках </w:t>
      </w:r>
      <w:r w:rsidRPr="00F1693B">
        <w:rPr>
          <w:rFonts w:ascii="Times New Roman" w:hAnsi="Times New Roman"/>
          <w:position w:val="-12"/>
          <w:sz w:val="28"/>
          <w:szCs w:val="28"/>
        </w:rPr>
        <w:object w:dxaOrig="2920" w:dyaOrig="360">
          <v:shape id="_x0000_i1043" type="#_x0000_t75" style="width:145.65pt;height:18.4pt" o:ole="">
            <v:imagedata r:id="rId37" o:title=""/>
          </v:shape>
          <o:OLEObject Type="Embed" ProgID="Equation.3" ShapeID="_x0000_i1043" DrawAspect="Content" ObjectID="_1668533971" r:id="rId38"/>
        </w:object>
      </w:r>
      <w:r w:rsidRPr="00F1693B">
        <w:rPr>
          <w:rFonts w:ascii="Times New Roman" w:hAnsi="Times New Roman"/>
          <w:sz w:val="28"/>
          <w:szCs w:val="28"/>
        </w:rPr>
        <w:t>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</w:p>
    <w:p w:rsidR="00AF3DDC" w:rsidRPr="00F1693B" w:rsidRDefault="00AF3DDC" w:rsidP="00AF3DDC">
      <w:pPr>
        <w:tabs>
          <w:tab w:val="num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F3DDC" w:rsidRPr="00F1693B" w:rsidRDefault="00AF3DDC" w:rsidP="00AF3DDC">
      <w:pPr>
        <w:tabs>
          <w:tab w:val="num" w:pos="72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693B">
        <w:rPr>
          <w:rFonts w:ascii="Times New Roman" w:hAnsi="Times New Roman"/>
          <w:b/>
          <w:sz w:val="28"/>
          <w:szCs w:val="28"/>
          <w:u w:val="single"/>
        </w:rPr>
        <w:t>10.4. Формула Симпсона.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ab/>
        <w:t xml:space="preserve">Для случаев, когда количество точек разбиения </w:t>
      </w:r>
      <w:r w:rsidRPr="00F1693B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44" type="#_x0000_t75" style="width:11.7pt;height:18.4pt" o:ole="">
            <v:imagedata r:id="rId39" o:title=""/>
          </v:shape>
          <o:OLEObject Type="Embed" ProgID="Equation.3" ShapeID="_x0000_i1044" DrawAspect="Content" ObjectID="_1668533972" r:id="rId40"/>
        </w:object>
      </w:r>
      <w:r w:rsidRPr="00F1693B">
        <w:rPr>
          <w:rFonts w:ascii="Times New Roman" w:hAnsi="Times New Roman"/>
          <w:sz w:val="28"/>
          <w:szCs w:val="28"/>
        </w:rPr>
        <w:t xml:space="preserve"> чётно, то есть </w:t>
      </w:r>
      <w:r w:rsidRPr="00F1693B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045" type="#_x0000_t75" style="width:73.65pt;height:15.9pt" o:ole="">
            <v:imagedata r:id="rId41" o:title=""/>
          </v:shape>
          <o:OLEObject Type="Embed" ProgID="Equation.3" ShapeID="_x0000_i1045" DrawAspect="Content" ObjectID="_1668533973" r:id="rId42"/>
        </w:object>
      </w:r>
      <w:r w:rsidRPr="00F1693B">
        <w:rPr>
          <w:rFonts w:ascii="Times New Roman" w:hAnsi="Times New Roman"/>
          <w:sz w:val="28"/>
          <w:szCs w:val="28"/>
        </w:rPr>
        <w:t xml:space="preserve">, удобно использовать так называемую </w:t>
      </w:r>
      <w:r w:rsidRPr="00F1693B">
        <w:rPr>
          <w:rFonts w:ascii="Times New Roman" w:hAnsi="Times New Roman"/>
          <w:i/>
          <w:iCs/>
          <w:sz w:val="28"/>
          <w:szCs w:val="28"/>
        </w:rPr>
        <w:t>формулу Симпсона</w:t>
      </w:r>
      <w:r w:rsidRPr="00F1693B">
        <w:rPr>
          <w:rFonts w:ascii="Times New Roman" w:hAnsi="Times New Roman"/>
          <w:sz w:val="28"/>
          <w:szCs w:val="28"/>
        </w:rPr>
        <w:t xml:space="preserve"> (параболических трапеций).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>Примем её без вывода:</w:t>
      </w:r>
    </w:p>
    <w:p w:rsidR="00AF3DDC" w:rsidRPr="00F1693B" w:rsidRDefault="00AF3DDC" w:rsidP="00AF3DDC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position w:val="-32"/>
          <w:sz w:val="28"/>
          <w:szCs w:val="28"/>
        </w:rPr>
        <w:object w:dxaOrig="5120" w:dyaOrig="760">
          <v:shape id="_x0000_i1046" type="#_x0000_t75" style="width:256.2pt;height:37.65pt" o:ole="">
            <v:imagedata r:id="rId43" o:title=""/>
          </v:shape>
          <o:OLEObject Type="Embed" ProgID="Equation.3" ShapeID="_x0000_i1046" DrawAspect="Content" ObjectID="_1668533974" r:id="rId44"/>
        </w:object>
      </w:r>
      <w:r w:rsidRPr="00F1693B">
        <w:rPr>
          <w:rFonts w:ascii="Times New Roman" w:hAnsi="Times New Roman"/>
          <w:sz w:val="28"/>
          <w:szCs w:val="28"/>
        </w:rPr>
        <w:t>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 xml:space="preserve">Напомним, что здесь </w:t>
      </w:r>
      <w:r w:rsidRPr="00F1693B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47" type="#_x0000_t75" style="width:32.65pt;height:31pt" o:ole="">
            <v:imagedata r:id="rId45" o:title=""/>
          </v:shape>
          <o:OLEObject Type="Embed" ProgID="Equation.3" ShapeID="_x0000_i1047" DrawAspect="Content" ObjectID="_1668533975" r:id="rId46"/>
        </w:object>
      </w:r>
      <w:r w:rsidRPr="00F1693B">
        <w:rPr>
          <w:rFonts w:ascii="Times New Roman" w:hAnsi="Times New Roman"/>
          <w:sz w:val="28"/>
          <w:szCs w:val="28"/>
        </w:rPr>
        <w:t>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>Оценка ошибки при вычислении определённого интеграла методом Симпсона:</w:t>
      </w:r>
    </w:p>
    <w:p w:rsidR="00AF3DDC" w:rsidRPr="00F1693B" w:rsidRDefault="00AF3DDC" w:rsidP="00AF3DDC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048" type="#_x0000_t75" style="width:113.85pt;height:31pt" o:ole="">
            <v:imagedata r:id="rId47" o:title=""/>
          </v:shape>
          <o:OLEObject Type="Embed" ProgID="Equation.3" ShapeID="_x0000_i1048" DrawAspect="Content" ObjectID="_1668533976" r:id="rId48"/>
        </w:object>
      </w:r>
      <w:r w:rsidRPr="00F1693B">
        <w:rPr>
          <w:rFonts w:ascii="Times New Roman" w:hAnsi="Times New Roman"/>
          <w:sz w:val="28"/>
          <w:szCs w:val="28"/>
        </w:rPr>
        <w:t>,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 xml:space="preserve">где </w:t>
      </w:r>
      <w:r w:rsidRPr="00F1693B">
        <w:rPr>
          <w:rFonts w:ascii="Times New Roman" w:hAnsi="Times New Roman"/>
          <w:position w:val="-22"/>
          <w:sz w:val="28"/>
          <w:szCs w:val="28"/>
        </w:rPr>
        <w:object w:dxaOrig="1780" w:dyaOrig="480">
          <v:shape id="_x0000_i1049" type="#_x0000_t75" style="width:88.75pt;height:24.3pt" o:ole="">
            <v:imagedata r:id="rId49" o:title=""/>
          </v:shape>
          <o:OLEObject Type="Embed" ProgID="Equation.3" ShapeID="_x0000_i1049" DrawAspect="Content" ObjectID="_1668533977" r:id="rId50"/>
        </w:object>
      </w:r>
      <w:r w:rsidRPr="00F1693B">
        <w:rPr>
          <w:rFonts w:ascii="Times New Roman" w:hAnsi="Times New Roman"/>
          <w:sz w:val="28"/>
          <w:szCs w:val="28"/>
        </w:rPr>
        <w:t xml:space="preserve"> - наибольшее значение производной четвёртого порядка подынтегральной функции на отрезке интегрирования.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b/>
          <w:sz w:val="28"/>
          <w:szCs w:val="28"/>
          <w:u w:val="single"/>
        </w:rPr>
        <w:t>Пример 3.</w:t>
      </w:r>
      <w:r w:rsidRPr="00F1693B">
        <w:rPr>
          <w:rFonts w:ascii="Times New Roman" w:hAnsi="Times New Roman"/>
          <w:sz w:val="28"/>
          <w:szCs w:val="28"/>
        </w:rPr>
        <w:t xml:space="preserve"> В условиях примеров 1 и 2 найти приближённое значение </w:t>
      </w:r>
      <w:r w:rsidRPr="00F1693B">
        <w:rPr>
          <w:rFonts w:ascii="Times New Roman" w:hAnsi="Times New Roman"/>
          <w:position w:val="-32"/>
          <w:sz w:val="28"/>
          <w:szCs w:val="28"/>
        </w:rPr>
        <w:object w:dxaOrig="660" w:dyaOrig="760">
          <v:shape id="_x0000_i1050" type="#_x0000_t75" style="width:32.65pt;height:37.65pt" o:ole="">
            <v:imagedata r:id="rId51" o:title=""/>
          </v:shape>
          <o:OLEObject Type="Embed" ProgID="Equation.3" ShapeID="_x0000_i1050" DrawAspect="Content" ObjectID="_1668533978" r:id="rId52"/>
        </w:object>
      </w:r>
      <w:r w:rsidRPr="00F1693B">
        <w:rPr>
          <w:rFonts w:ascii="Times New Roman" w:hAnsi="Times New Roman"/>
          <w:sz w:val="28"/>
          <w:szCs w:val="28"/>
        </w:rPr>
        <w:t xml:space="preserve"> методом Симпсона. Оценить ошибку; сравнить полученное значение с </w:t>
      </w:r>
      <w:proofErr w:type="gramStart"/>
      <w:r w:rsidRPr="00F1693B">
        <w:rPr>
          <w:rFonts w:ascii="Times New Roman" w:hAnsi="Times New Roman"/>
          <w:sz w:val="28"/>
          <w:szCs w:val="28"/>
        </w:rPr>
        <w:t>точным</w:t>
      </w:r>
      <w:proofErr w:type="gramEnd"/>
      <w:r w:rsidRPr="00F1693B">
        <w:rPr>
          <w:rFonts w:ascii="Times New Roman" w:hAnsi="Times New Roman"/>
          <w:sz w:val="28"/>
          <w:szCs w:val="28"/>
        </w:rPr>
        <w:t>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b/>
          <w:sz w:val="28"/>
          <w:szCs w:val="28"/>
          <w:u w:val="single"/>
        </w:rPr>
        <w:t>Решение.</w:t>
      </w:r>
      <w:r w:rsidRPr="00F1693B">
        <w:rPr>
          <w:rFonts w:ascii="Times New Roman" w:hAnsi="Times New Roman"/>
          <w:b/>
          <w:sz w:val="28"/>
          <w:szCs w:val="28"/>
        </w:rPr>
        <w:t xml:space="preserve"> </w:t>
      </w:r>
      <w:r w:rsidRPr="00F1693B">
        <w:rPr>
          <w:rFonts w:ascii="Times New Roman" w:hAnsi="Times New Roman"/>
          <w:sz w:val="28"/>
          <w:szCs w:val="28"/>
        </w:rPr>
        <w:t>Воспользуемся таблицей значений, которую мы применяли в предыдущих примерах.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  <w:gridCol w:w="494"/>
        <w:gridCol w:w="941"/>
        <w:gridCol w:w="830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AF3DDC" w:rsidRPr="00F1693B" w:rsidTr="00CF63C9"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F1693B">
              <w:rPr>
                <w:rFonts w:ascii="Times New Roman" w:hAnsi="Times New Roman"/>
                <w:i/>
                <w:iCs/>
                <w:sz w:val="28"/>
                <w:szCs w:val="2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F3DDC" w:rsidRPr="00F1693B" w:rsidTr="00CF63C9"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1693B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1,10517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1,2214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1,34986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1,49282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1,64872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1,82212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2,01375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2,22554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2,45960</w:t>
            </w:r>
          </w:p>
        </w:tc>
        <w:tc>
          <w:tcPr>
            <w:tcW w:w="0" w:type="auto"/>
          </w:tcPr>
          <w:p w:rsidR="00AF3DDC" w:rsidRPr="00F1693B" w:rsidRDefault="00AF3DDC" w:rsidP="00CF63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93B">
              <w:rPr>
                <w:rFonts w:ascii="Times New Roman" w:hAnsi="Times New Roman"/>
                <w:sz w:val="28"/>
                <w:szCs w:val="28"/>
              </w:rPr>
              <w:t>2,71828</w:t>
            </w:r>
          </w:p>
        </w:tc>
      </w:tr>
    </w:tbl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lastRenderedPageBreak/>
        <w:t>Подставим соответствующие значения в формулу (7):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position w:val="-64"/>
          <w:sz w:val="28"/>
          <w:szCs w:val="28"/>
        </w:rPr>
        <w:object w:dxaOrig="9380" w:dyaOrig="1400">
          <v:shape id="_x0000_i1051" type="#_x0000_t75" style="width:468.85pt;height:70.35pt" o:ole="">
            <v:imagedata r:id="rId53" o:title=""/>
          </v:shape>
          <o:OLEObject Type="Embed" ProgID="Equation.3" ShapeID="_x0000_i1051" DrawAspect="Content" ObjectID="_1668533979" r:id="rId54"/>
        </w:object>
      </w:r>
      <w:r w:rsidRPr="00F1693B">
        <w:rPr>
          <w:rFonts w:ascii="Times New Roman" w:hAnsi="Times New Roman"/>
          <w:sz w:val="28"/>
          <w:szCs w:val="28"/>
        </w:rPr>
        <w:t xml:space="preserve">(здесь </w:t>
      </w:r>
      <w:r w:rsidRPr="00F1693B">
        <w:rPr>
          <w:rFonts w:ascii="Times New Roman" w:hAnsi="Times New Roman"/>
          <w:position w:val="-6"/>
          <w:sz w:val="28"/>
          <w:szCs w:val="28"/>
        </w:rPr>
        <w:object w:dxaOrig="1260" w:dyaOrig="279">
          <v:shape id="_x0000_i1052" type="#_x0000_t75" style="width:62.8pt;height:14.25pt" o:ole="">
            <v:imagedata r:id="rId55" o:title=""/>
          </v:shape>
          <o:OLEObject Type="Embed" ProgID="Equation.3" ShapeID="_x0000_i1052" DrawAspect="Content" ObjectID="_1668533980" r:id="rId56"/>
        </w:object>
      </w:r>
      <w:r w:rsidRPr="00F1693B">
        <w:rPr>
          <w:rFonts w:ascii="Times New Roman" w:hAnsi="Times New Roman"/>
          <w:sz w:val="28"/>
          <w:szCs w:val="28"/>
        </w:rPr>
        <w:t>)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>При расчёте по данной формуле получили все 5 верных цифр после запятой. Таким образом, в одинаковых начальных условиях метод Симпсона даёт наибольшую точность приближённых вычислений определённого интеграла.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</w:p>
    <w:p w:rsidR="00AF3DDC" w:rsidRPr="00F1693B" w:rsidRDefault="00AF3DDC" w:rsidP="00AF3DDC">
      <w:pPr>
        <w:tabs>
          <w:tab w:val="num" w:pos="72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693B">
        <w:rPr>
          <w:rFonts w:ascii="Times New Roman" w:hAnsi="Times New Roman"/>
          <w:b/>
          <w:sz w:val="28"/>
          <w:szCs w:val="28"/>
          <w:u w:val="single"/>
        </w:rPr>
        <w:t>Задание.</w:t>
      </w:r>
    </w:p>
    <w:p w:rsidR="00AF3DDC" w:rsidRPr="00F1693B" w:rsidRDefault="00AF3DDC" w:rsidP="00AF3DDC">
      <w:pPr>
        <w:pStyle w:val="a6"/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>Найти приближённые значения следующих определённых интегралов. Оценить ошибку вычисления и сравнить с точным значением. Вычисления вести с пятью знаками после запятой.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 xml:space="preserve">1) </w:t>
      </w:r>
      <w:r w:rsidRPr="00F1693B">
        <w:rPr>
          <w:rFonts w:ascii="Times New Roman" w:hAnsi="Times New Roman"/>
          <w:position w:val="-32"/>
          <w:sz w:val="28"/>
          <w:szCs w:val="28"/>
        </w:rPr>
        <w:object w:dxaOrig="880" w:dyaOrig="760">
          <v:shape id="_x0000_i1053" type="#_x0000_t75" style="width:44.35pt;height:37.65pt" o:ole="">
            <v:imagedata r:id="rId57" o:title=""/>
          </v:shape>
          <o:OLEObject Type="Embed" ProgID="Equation.3" ShapeID="_x0000_i1053" DrawAspect="Content" ObjectID="_1668533981" r:id="rId58"/>
        </w:object>
      </w:r>
      <w:r w:rsidRPr="00F1693B">
        <w:rPr>
          <w:rFonts w:ascii="Times New Roman" w:hAnsi="Times New Roman"/>
          <w:sz w:val="28"/>
          <w:szCs w:val="28"/>
        </w:rPr>
        <w:t xml:space="preserve"> - методом Симпсона.</w:t>
      </w:r>
    </w:p>
    <w:p w:rsidR="00AF3DDC" w:rsidRPr="00F1693B" w:rsidRDefault="00AF3DDC" w:rsidP="00AF3DDC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693B">
        <w:rPr>
          <w:rFonts w:ascii="Times New Roman" w:hAnsi="Times New Roman"/>
          <w:sz w:val="28"/>
          <w:szCs w:val="28"/>
        </w:rPr>
        <w:t xml:space="preserve">2) </w:t>
      </w:r>
      <w:r w:rsidRPr="00F1693B">
        <w:rPr>
          <w:rFonts w:ascii="Times New Roman" w:hAnsi="Times New Roman"/>
          <w:position w:val="-30"/>
          <w:sz w:val="28"/>
          <w:szCs w:val="28"/>
        </w:rPr>
        <w:object w:dxaOrig="560" w:dyaOrig="740">
          <v:shape id="_x0000_i1054" type="#_x0000_t75" style="width:27.65pt;height:36.85pt" o:ole="">
            <v:imagedata r:id="rId59" o:title=""/>
          </v:shape>
          <o:OLEObject Type="Embed" ProgID="Equation.3" ShapeID="_x0000_i1054" DrawAspect="Content" ObjectID="_1668533982" r:id="rId60"/>
        </w:object>
      </w:r>
      <w:r w:rsidRPr="00F1693B">
        <w:rPr>
          <w:rFonts w:ascii="Times New Roman" w:hAnsi="Times New Roman"/>
          <w:sz w:val="28"/>
          <w:szCs w:val="28"/>
        </w:rPr>
        <w:t xml:space="preserve"> - методом трапеций и методом Симпсона.</w:t>
      </w:r>
    </w:p>
    <w:p w:rsidR="00AF3DDC" w:rsidRPr="00F1693B" w:rsidRDefault="00AF3DDC" w:rsidP="00AF3DDC">
      <w:pPr>
        <w:rPr>
          <w:sz w:val="28"/>
          <w:szCs w:val="28"/>
        </w:rPr>
      </w:pPr>
    </w:p>
    <w:p w:rsidR="00AF3DDC" w:rsidRPr="00F1693B" w:rsidRDefault="00AF3DDC" w:rsidP="00AF3DDC">
      <w:pPr>
        <w:rPr>
          <w:sz w:val="28"/>
          <w:szCs w:val="28"/>
        </w:rPr>
      </w:pPr>
    </w:p>
    <w:p w:rsidR="00AF3DDC" w:rsidRPr="00F1693B" w:rsidRDefault="00AF3DDC">
      <w:pPr>
        <w:rPr>
          <w:sz w:val="28"/>
          <w:szCs w:val="28"/>
        </w:rPr>
      </w:pPr>
    </w:p>
    <w:sectPr w:rsidR="00AF3DDC" w:rsidRPr="00F1693B" w:rsidSect="00AF3DDC">
      <w:footerReference w:type="even" r:id="rId61"/>
      <w:footerReference w:type="default" r:id="rId62"/>
      <w:pgSz w:w="11906" w:h="16838"/>
      <w:pgMar w:top="539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12" w:rsidRDefault="000A7612" w:rsidP="000A7612">
      <w:pPr>
        <w:spacing w:after="0" w:line="240" w:lineRule="auto"/>
      </w:pPr>
      <w:r>
        <w:separator/>
      </w:r>
    </w:p>
  </w:endnote>
  <w:endnote w:type="continuationSeparator" w:id="0">
    <w:p w:rsidR="000A7612" w:rsidRDefault="000A7612" w:rsidP="000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8B" w:rsidRDefault="000A7612" w:rsidP="00CE10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D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68B" w:rsidRDefault="00F1693B" w:rsidP="00876F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8B" w:rsidRDefault="000A7612" w:rsidP="00CE10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D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93B">
      <w:rPr>
        <w:rStyle w:val="a5"/>
        <w:noProof/>
      </w:rPr>
      <w:t>1</w:t>
    </w:r>
    <w:r>
      <w:rPr>
        <w:rStyle w:val="a5"/>
      </w:rPr>
      <w:fldChar w:fldCharType="end"/>
    </w:r>
  </w:p>
  <w:p w:rsidR="00D4568B" w:rsidRDefault="00F1693B" w:rsidP="00876F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12" w:rsidRDefault="000A7612" w:rsidP="000A7612">
      <w:pPr>
        <w:spacing w:after="0" w:line="240" w:lineRule="auto"/>
      </w:pPr>
      <w:r>
        <w:separator/>
      </w:r>
    </w:p>
  </w:footnote>
  <w:footnote w:type="continuationSeparator" w:id="0">
    <w:p w:rsidR="000A7612" w:rsidRDefault="000A7612" w:rsidP="000A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DC"/>
    <w:rsid w:val="000A7612"/>
    <w:rsid w:val="00AF3DDC"/>
    <w:rsid w:val="00F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3DDC"/>
    <w:pPr>
      <w:ind w:left="720"/>
    </w:pPr>
  </w:style>
  <w:style w:type="paragraph" w:styleId="a3">
    <w:name w:val="footer"/>
    <w:basedOn w:val="a"/>
    <w:link w:val="a4"/>
    <w:rsid w:val="00AF3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DDC"/>
    <w:rPr>
      <w:rFonts w:ascii="Calibri" w:eastAsia="Times New Roman" w:hAnsi="Calibri" w:cs="Times New Roman"/>
    </w:rPr>
  </w:style>
  <w:style w:type="character" w:styleId="a5">
    <w:name w:val="page number"/>
    <w:basedOn w:val="a0"/>
    <w:rsid w:val="00AF3DDC"/>
  </w:style>
  <w:style w:type="paragraph" w:styleId="a6">
    <w:name w:val="Body Text"/>
    <w:basedOn w:val="a"/>
    <w:link w:val="a7"/>
    <w:rsid w:val="00AF3DDC"/>
    <w:pPr>
      <w:spacing w:after="120"/>
    </w:pPr>
  </w:style>
  <w:style w:type="character" w:customStyle="1" w:styleId="a7">
    <w:name w:val="Основной текст Знак"/>
    <w:basedOn w:val="a0"/>
    <w:link w:val="a6"/>
    <w:rsid w:val="00AF3D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3400</Characters>
  <Application>Microsoft Office Word</Application>
  <DocSecurity>0</DocSecurity>
  <Lines>28</Lines>
  <Paragraphs>7</Paragraphs>
  <ScaleCrop>false</ScaleCrop>
  <Company>HP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2020-11-18T17:24:00Z</dcterms:created>
  <dcterms:modified xsi:type="dcterms:W3CDTF">2020-12-03T17:52:00Z</dcterms:modified>
</cp:coreProperties>
</file>